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BK_B 068/04 vom 20. Juli 2004</w:t>
      </w:r>
    </w:p>
    <w:p>
      <w:r>
        <w:t>Bundesstrafgericht, 2004-07-20, IT</w:t>
      </w:r>
    </w:p>
    <w:p>
      <w:r>
        <w:rPr>
          <w:b/>
        </w:rPr>
        <w:t xml:space="preserve">Quelle: </w:t>
      </w:r>
      <w:r>
        <w:t>https://mcp.opencaselaw.ch/entscheid/bstger_BK_B 068_04</w:t>
      </w:r>
    </w:p>
    <w:p>
      <w:r>
        <w:t>FR: TPF BK_B 068/04 du 20 juillet 2004</w:t>
      </w:r>
    </w:p>
    <w:p>
      <w:r>
        <w:t>IT: TPF BK_B 068/04 del 20 luglio 2004</w:t>
      </w:r>
    </w:p>
    <w:p>
      <w:pPr>
        <w:pStyle w:val="Heading2"/>
      </w:pPr>
      <w:r>
        <w:t>Regeste</w:t>
      </w:r>
    </w:p>
    <w:p>
      <w:r>
        <w:t>Sequestro di conto bancario (art. 45 e 47 cpv. 3 AIMP)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Giusta l’art. 48 cpv. 2 AIMP, nella versione in vigore dal 1° aprile 2004, con- tro le decisioni dell’UFG in materia di carcere in vista di estradizione e se- questro conservativo è ammesso, entro il termine di dieci giorni dalla notifi- ca del provvedimento di arresto o di sequestro, il reclamo alla Corte dei re- clami penali del Tribunale penale federale. Gli art. 214-219 PP sono appli- cabili per analogia.</w:t>
      </w:r>
    </w:p>
    <w:p>
      <w:r>
        <w:t>In concreto, la decisione di sequestro impugnata è stata trasmessa dalla banca alla reclamante con lettera del 18 maggio 2004, ma ritirata alla posta di Y.______ solamente il 26 maggio 2004, come attestano le ricevute po- stali prodotte (v. atti 1.4 e 1.5. allegati al reclamo). Il reclamo, datato 4 giu- gno 2004, risulta pertanto tempestivo, intervenendo nel termine di 10 giorni di cui all’art. 48 cpv. 2 AIMP. La legittimazione ricorsuale è in concreto da- ta, essendo la reclamante titolare della relazione bancaria posta sotto sequestro (art. 214 cpv. 2 PP).</w:t>
      </w:r>
    </w:p>
    <w:p>
      <w:r>
        <w:rPr>
          <w:b/>
        </w:rPr>
        <w:t>E. 2</w:t>
      </w:r>
    </w:p>
    <w:p>
      <w:r>
        <w:t>L’art. 45 AIMP (dal titolo di “sequestro conservativo”) prevede che in caso di fermo della persona soggetta ad estradizione, gli oggetti o i beni che possono servire come mezzi di prova nel procedimento penale straniero o provengono dal reato sono posti al sicuro. L’UFG decide ulteriormente quali di questi oggetti o beni debbano rimanere o essere messi al sicuro (art. 47 cpv. 3 AIMP).</w:t>
      </w:r>
    </w:p>
    <w:p>
      <w:r>
        <w:t>Secondo la giurisprudenza del Tribunale federale, il sequestro ai sensi dell’art. 45 AIMP costituisce solo una misura provvisionale volta ad assicu- rare i mezzi di prova nel corso del procedimento penale straniero o a sal- vaguardare i proventi di reato; come tale, esso non pregiudica ancora ma- terialmente i diritti patrimoniali dell’interessato, rivestendo un carattere pu- ramente conservatorio. Il sequestro è pronunciato in vista di una successi- va decisione di consegna - che non pregiudica -, e può essere pronunciato se la consegna non appaia manifestamente inammissibile (DTF 121 IV 41 consid. 4b/bb; sentenza del Tribunale federale del 14 agosto 2001 [8G.43/2001], consid. 2a).</w:t>
      </w:r>
    </w:p>
    <w:p>
      <w:r>
        <w:t>- 4 -</w:t>
      </w:r>
    </w:p>
    <w:p>
      <w:r>
        <w:rPr>
          <w:b/>
        </w:rPr>
        <w:t>E. 2.1</w:t>
      </w:r>
    </w:p>
    <w:p>
      <w:r>
        <w:t>La reclamante fa preliminarmente notare che B.______ è proprietario solo del 50% del capitale azionario della A.______SA, l’altra metà essendo de- tenuta da D.______, il quale sarebbe egualmente avente diritto economico del conto sequestrato. D.______ disporrebbe peraltro della procura sul conto in questione, conferitagli dopo l’arresto di B.______. Ora, a prescindere dal fatto che le censure relative alla titolarità sui diritti sequestrati non possono essere esaminate nell’ambito della decisione di sequestro, ma devono semmai essere fatte valere nell’ambito della proce- dura di estradizione vera e propria (e della relativa decisione di consegna), non è ben dato di vedere per quale motivo la presenza di un altro azionista nella società reclamante o il fatto che questa persona sia pure lei beneficia- ria economica del conto in questione sarebbero di ostacolo al provvedimen- to adottato. Quale azionista della società con diritto di firma individuale, B.______ era perfettamente in grado di compiere operazioni finanziarie in tutta autonomia e all’insaputa dell’altro azionista, compresa la gestione del conto (da lui stesso) aperto presso la Banca C.______ di X.______.</w:t>
      </w:r>
    </w:p>
    <w:p>
      <w:r>
        <w:rPr>
          <w:b/>
        </w:rPr>
        <w:t>E. 2.2</w:t>
      </w:r>
    </w:p>
    <w:p>
      <w:r>
        <w:t>La reclamante sostiene che la misura ordinata dall’UFG non sarebbe pro- porzionata, in mancanza di qualsivoglia indizio agli atti che sul conto se- questrato di sua pertinenza presso la Banca C.______ siano pervenuti ave- ri legati all’attività delittuosa imputata a B.______; inoltre, sempre secondo la reclamante, la misura impugnata arrecherebbe un grave e crescente pregiudizio all’attività commerciale – peraltro del tutto lecita - della società. Tali motivazioni non sono tuttavia sufficienti per annullare la misura impu- gnata, ritenuto, da un lato, che il sequestro costituisce solo una misura provvisionale volta ad assicurare i mezzi di prova nel corso del procedi- mento penale straniero o a salvaguardare i proventi di reato (art. 45 AIMP) e che, dall’altro, non può – a questo stadio della procedura – essere esclu- so che B.______, in quanto azionista al 50% della A.______SA e procura- tore con diritto di firma della società, abbia depositato su tale conto delle somme di denaro provenienti dai reati di cui è imputato in Italia; quest’ultima considerazione è d’altronde rafforzata dal fatto che, per esplici- ta ammissione della reclamante (v. reclamo, pag. 5 in alto, pto 4), il conto li- tigioso è stato aperto da B.______, che ha espletato tutte le pratiche relati- ve e che si è persino dichiarato avente diritto economico dello stesso, il tut- to all’insaputa dell’altro azionista della società. In simili circostanze, visto che la consegna dei valori sequestrati all’autorità richiedente estera non sembra – di primo acchito - manifestamente inam- missibile, il provvedimento impugnato non può essere considerato lesivo del principio della proporzionalità. In attesa del chiarimento da parte dell’autorità inquirente dell’entità e della provenienza dei fondi depositati sul</w:t>
      </w:r>
    </w:p>
    <w:p>
      <w:r>
        <w:t>- 5 - conto sequestrato, non è nemmeno possibile procedere ad uno sblocco parziale dello stesso; l’UFG è comunque invitato a procedere al più presto a tale esame, alfine di non arrecare alla A.______SA più danno del necessario.</w:t>
      </w:r>
    </w:p>
    <w:p>
      <w:r>
        <w:rPr>
          <w:b/>
        </w:rPr>
        <w:t>E. 3</w:t>
      </w:r>
    </w:p>
    <w:p>
      <w:r>
        <w:t>Discende da quanto precede che il reclamo deve essere respinto nella mi- sura della sua ammissibilità. Conformemente al nuovo art. 245 PP, in vigo- re dal 1° aprile 2004, le spese processuali sono poste a carico della recla- mante soccombente. Queste sono calcolate giusta l’art. 3 del Regolamento dell'11 febbraio 2004 sulle tasse di giustizia del Tribunale penale federale (RS 173.711.32) e ammontano a fr. 800.-.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